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学生操作手册</w:t>
      </w:r>
    </w:p>
    <w:p>
      <w:pPr>
        <w:spacing w:line="300" w:lineRule="auto"/>
        <w:ind w:firstLine="565" w:firstLineChars="201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一、注册方式</w:t>
      </w:r>
    </w:p>
    <w:p>
      <w:pPr>
        <w:pStyle w:val="11"/>
        <w:widowControl/>
        <w:spacing w:line="300" w:lineRule="auto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采取线上教学模式开设，由学校与“学堂在线”平台合作开设。实施考核的过程化管理。注册方式如下：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 xml:space="preserve"> </w:t>
      </w:r>
    </w:p>
    <w:p>
      <w:pPr>
        <w:pStyle w:val="11"/>
        <w:widowControl/>
        <w:spacing w:line="300" w:lineRule="auto"/>
        <w:ind w:firstLine="711" w:firstLineChars="253"/>
        <w:rPr>
          <w:rFonts w:ascii="仿宋_GB2312" w:hAnsi="仿宋_GB2312" w:eastAsia="仿宋_GB2312" w:cs="仿宋_GB2312"/>
          <w:b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1B1B1B"/>
          <w:sz w:val="28"/>
          <w:szCs w:val="28"/>
          <w:highlight w:val="yellow"/>
        </w:rPr>
        <w:t>微信绑定注册</w:t>
      </w:r>
    </w:p>
    <w:p>
      <w:pPr>
        <w:pStyle w:val="11"/>
        <w:widowControl/>
        <w:spacing w:line="300" w:lineRule="auto"/>
        <w:ind w:firstLine="560" w:firstLineChars="200"/>
        <w:rPr>
          <w:rFonts w:hint="eastAsia"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微信搜索、关注“雨课堂”公众号-进入公众号-点击更多-身份绑定-选择“</w:t>
      </w:r>
      <w:r>
        <w:rPr>
          <w:rFonts w:hint="eastAsia" w:ascii="仿宋_GB2312" w:hAnsi="仿宋_GB2312" w:eastAsia="仿宋_GB2312" w:cs="仿宋_GB2312"/>
          <w:b/>
          <w:color w:val="1B1B1B"/>
          <w:sz w:val="28"/>
          <w:szCs w:val="28"/>
        </w:rPr>
        <w:t>长春工业大学研究生院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”-按页面提示输入账号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  <w:lang w:eastAsia="zh-CN"/>
        </w:rPr>
        <w:t>（学号）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密码（初始密码为学号后6位），认证通过后系统会为您同步校内个人信息及开课数据。</w:t>
      </w:r>
    </w:p>
    <w:p>
      <w:pPr>
        <w:pStyle w:val="11"/>
        <w:widowControl/>
        <w:spacing w:line="300" w:lineRule="auto"/>
        <w:ind w:firstLine="560" w:firstLineChars="200"/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注：之前使用雨课堂上课绑定过“长春工业大学”的研究生，须进入“身份绑定”——点击“增加学校”——同时选择绑定“长春工业大学研究生院”方可查看到该课程。</w:t>
      </w:r>
    </w:p>
    <w:p>
      <w:pPr>
        <w:pStyle w:val="11"/>
        <w:widowControl/>
        <w:spacing w:line="300" w:lineRule="auto"/>
        <w:ind w:firstLine="560" w:firstLineChars="200"/>
        <w:rPr>
          <w:rFonts w:hint="eastAsia" w:ascii="仿宋_GB2312" w:hAnsi="仿宋_GB2312" w:eastAsia="仿宋_GB2312" w:cs="仿宋_GB2312"/>
          <w:color w:val="1B1B1B"/>
          <w:sz w:val="28"/>
          <w:szCs w:val="28"/>
        </w:rPr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610100" cy="21082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ascii="Times New Roman" w:hAnsi="Times New Roman" w:cs="Times New Roman"/>
        </w:rPr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</w:p>
    <w:p>
      <w:pPr>
        <w:spacing w:line="300" w:lineRule="auto"/>
        <w:ind w:firstLine="565" w:firstLineChars="201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二、学习方式</w:t>
      </w:r>
    </w:p>
    <w:p>
      <w:pPr>
        <w:spacing w:line="300" w:lineRule="auto"/>
        <w:jc w:val="left"/>
        <w:rPr>
          <w:rFonts w:ascii="Times New Roman" w:hAnsi="Times New Roman" w:cs="Times New Roman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课程学习方式分为移动端App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和电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P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C端两种方式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：</w:t>
      </w:r>
    </w:p>
    <w:p>
      <w:pPr>
        <w:pStyle w:val="11"/>
        <w:widowControl/>
        <w:spacing w:line="300" w:lineRule="auto"/>
        <w:ind w:firstLine="568" w:firstLineChars="202"/>
        <w:rPr>
          <w:rFonts w:ascii="仿宋_GB2312" w:hAnsi="仿宋_GB2312" w:eastAsia="仿宋_GB2312" w:cs="仿宋_GB2312"/>
          <w:b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1B1B1B"/>
          <w:sz w:val="28"/>
          <w:szCs w:val="28"/>
        </w:rPr>
        <w:t>（一）移动端A</w:t>
      </w:r>
      <w:r>
        <w:rPr>
          <w:rFonts w:ascii="仿宋_GB2312" w:hAnsi="仿宋_GB2312" w:eastAsia="仿宋_GB2312" w:cs="仿宋_GB2312"/>
          <w:b/>
          <w:color w:val="1B1B1B"/>
          <w:sz w:val="28"/>
          <w:szCs w:val="28"/>
        </w:rPr>
        <w:t>PP</w:t>
      </w:r>
    </w:p>
    <w:p>
      <w:pPr>
        <w:spacing w:line="300" w:lineRule="auto"/>
        <w:ind w:firstLine="495" w:firstLineChars="177"/>
        <w:rPr>
          <w:rFonts w:ascii="宋体" w:hAnsi="宋体"/>
          <w:szCs w:val="24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1、下载“学堂云”A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PP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</w:rPr>
        <w:t>使用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微信登录，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选择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已进行身份绑定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的微信打开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，进入“我的课程”，选择“科研伦理与学术规范”课程进行学习。课程列表展示</w:t>
      </w:r>
      <w:r>
        <w:rPr>
          <w:rFonts w:hint="eastAsia" w:ascii="仿宋_GB2312" w:hAnsi="仿宋_GB2312" w:eastAsia="仿宋_GB2312" w:cs="仿宋_GB2312"/>
          <w:b/>
          <w:color w:val="1B1B1B"/>
          <w:sz w:val="28"/>
          <w:szCs w:val="28"/>
        </w:rPr>
        <w:t>开课中、未开课、已结课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的课程，课程状态不同，学习的权限也有所不同。如果你正在学习某个课程，课程列表下方会出现“最近学习”浮窗，可以快捷进入继续学习。</w:t>
      </w:r>
    </w:p>
    <w:p>
      <w:pPr>
        <w:spacing w:line="300" w:lineRule="auto"/>
        <w:rPr>
          <w:rFonts w:ascii="宋体" w:hAnsi="宋体"/>
          <w:szCs w:val="24"/>
        </w:rPr>
      </w:pPr>
      <w:r>
        <w:drawing>
          <wp:inline distT="0" distB="0" distL="0" distR="0">
            <wp:extent cx="1219200" cy="2203450"/>
            <wp:effectExtent l="0" t="0" r="0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19200" cy="22352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t xml:space="preserve">  </w:t>
      </w:r>
      <w:r>
        <w:rPr>
          <w:rFonts w:ascii="宋体" w:hAnsi="宋体"/>
          <w:szCs w:val="24"/>
        </w:rPr>
        <w:drawing>
          <wp:inline distT="0" distB="0" distL="0" distR="0">
            <wp:extent cx="1390650" cy="22288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ascii="宋体" w:hAnsi="宋体"/>
          <w:szCs w:val="24"/>
        </w:rPr>
        <w:drawing>
          <wp:inline distT="0" distB="0" distL="0" distR="0">
            <wp:extent cx="1390650" cy="22288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课程学习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点击“科研伦理与学术规范”进入课程学习页面，课程学习页面顶部显示课程名称、班级名称、老师名称、开课学期等基本信息。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2.1 公告区：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所有课程相关公告均在此区域展示。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2.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b/>
          <w:color w:val="1B1B1B"/>
          <w:sz w:val="28"/>
          <w:szCs w:val="28"/>
        </w:rPr>
        <w:t>教学大纲区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：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 xml:space="preserve"> 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教学大纲展示课程章节，点击相应章节可进行各种学习单元的学习。学习单元分为图文单元、视频单元、讨论单元和作业单元。学习某个单元后，教学大纲页面将展现学习进度，方便查看自己已经学习完或正在学习的单元。</w:t>
      </w:r>
    </w:p>
    <w:p>
      <w:pPr>
        <w:spacing w:line="300" w:lineRule="auto"/>
        <w:rPr>
          <w:rFonts w:ascii="仿宋_GB2312" w:hAnsi="仿宋_GB2312" w:eastAsia="仿宋_GB2312" w:cs="仿宋_GB2312"/>
          <w:color w:val="1B1B1B"/>
          <w:szCs w:val="24"/>
        </w:rPr>
      </w:pPr>
      <w:r>
        <w:rPr>
          <w:rFonts w:ascii="宋体" w:hAnsi="宋体"/>
          <w:szCs w:val="24"/>
        </w:rPr>
        <w:pict>
          <v:shape id="_x0000_s1026" o:spid="_x0000_s1026" o:spt="32" type="#_x0000_t32" style="position:absolute;left:0pt;margin-left:125pt;margin-top:129.5pt;height:27.5pt;width:11pt;z-index:251659264;mso-width-relative:page;mso-height-relative:page;" filled="f" stroked="t" coordsize="21600,21600" o:gfxdata="UEsDBAoAAAAAAIdO4kAAAAAAAAAAAAAAAAAEAAAAZHJzL1BLAwQUAAAACACHTuJAJ0SC7tgAAAAL&#10;AQAADwAAAGRycy9kb3ducmV2LnhtbE2PS0/DMBCE70j8B2uRuCBqJzwb4lQIhQO3UhASt21s4qjx&#10;OrLdB/x6tie4faMdzc7Ui4Mfxc7GNATSUMwUCEtdMAP1Gt7fni/vQaSMZHAMZDV82wSL5vSkxsqE&#10;Pb3a3Sr3gkMoVajB5TxVUqbOWY9pFiZLfPsK0WNmGXtpIu453I+yVOpWehyIPzic7JOz3Wa19RoS&#10;5U/Vtt1jHF5+XLm82OD8o9X6/KxQDyCyPeQ/Mxzrc3VouNM6bMkkMWoobxRvyUeYM7CjvCsZ1hqu&#10;imsFsqnl/w3NL1BLAwQUAAAACACHTuJALE4BkPIBAACXAwAADgAAAGRycy9lMm9Eb2MueG1srVNL&#10;jhMxEN0jcQfLe9KdD/NppTOLhGGDIBJwgIrb3W3JP5VNOrkEF0BiBayA1ew5DQzHoOyEDJ8dohd2&#10;ucr1yu9V9fxqZzTbSgzK2ZqPRyVn0grXKNvV/OWL6wcXnIUItgHtrKz5XgZ+tbh/bz74Sk5c73Qj&#10;kRGIDdXga97H6KuiCKKXBsLIeWkp2Do0EOmIXdEgDIRudDEpy7NicNh4dEKGQN7VIcgXGb9tpYjP&#10;2jbIyHTN6W0xr5jXTVqLxRyqDsH3ShyfAf/wCgPKUtET1AoisFeo/oIySqALro0j4Uzh2lYJmTkQ&#10;m3H5B5vnPXiZuZA4wZ9kCv8PVjzdrpGppuYzziwYatHtm5tvr9/ffv709d3N9y9vk/3xA5slqQYf&#10;KspY2jUeT8GvMfHetWjSTozYLsu7P8krd5EJco6nl+clNUFQaDq7nDzM8hd3yR5DfCydYcmoeYgI&#10;quvj0llLjXQ4zhLD9kmIVJ4SfyakytZdK61zP7VlQ83PplSACaCpajVEMo0nnsF2nIHuaFxFxIwY&#10;nFZNyk44AbvNUiPbAo3MbHY+WWbqVO23a6n0CkJ/uJdDh2EyKtJEa2VqflGm7+COoPQj27C496Rx&#10;RAW20zLFCFlb2pK4BzmTtXHNPquc/dT9fPE4qWm8fj3n7Lv/afE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J0SC7tgAAAALAQAADwAAAAAAAAABACAAAAAiAAAAZHJzL2Rvd25yZXYueG1sUEsBAhQA&#10;FAAAAAgAh07iQCxOAZDyAQAAlwMAAA4AAAAAAAAAAQAgAAAAJwEAAGRycy9lMm9Eb2MueG1sUEsF&#10;BgAAAAAGAAYAWQEAAIsFAAAAAA==&#10;">
            <v:path arrowok="t"/>
            <v:fill on="f" focussize="0,0"/>
            <v:stroke weight="0.5pt" color="#4472C4" joinstyle="miter" endarrow="block"/>
            <v:imagedata o:title=""/>
            <o:lock v:ext="edit"/>
          </v:shape>
        </w:pict>
      </w:r>
      <w:r>
        <w:rPr>
          <w:rFonts w:ascii="宋体" w:hAnsi="宋体"/>
          <w:szCs w:val="24"/>
        </w:rPr>
        <w:drawing>
          <wp:inline distT="0" distB="0" distL="0" distR="0">
            <wp:extent cx="1892300" cy="2584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05" cy="25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873250" cy="24377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71" cy="24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2298700" cy="2475865"/>
            <wp:effectExtent l="0" t="0" r="635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713" cy="25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00" w:lineRule="auto"/>
        <w:ind w:left="5760" w:hanging="5760" w:hangingChars="2400"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学习进度展示</w:t>
      </w:r>
      <w:r>
        <w:rPr>
          <w:rFonts w:hint="eastAsia" w:ascii="仿宋_GB2312" w:hAnsi="仿宋_GB2312" w:eastAsia="仿宋_GB2312" w:cs="仿宋_GB2312"/>
          <w:color w:val="1B1B1B"/>
          <w:szCs w:val="24"/>
        </w:rPr>
        <w:t xml:space="preserve"> </w:t>
      </w:r>
      <w:r>
        <w:rPr>
          <w:rFonts w:ascii="仿宋_GB2312" w:hAnsi="仿宋_GB2312" w:eastAsia="仿宋_GB2312" w:cs="仿宋_GB2312"/>
          <w:color w:val="1B1B1B"/>
          <w:szCs w:val="24"/>
        </w:rPr>
        <w:t xml:space="preserve">              </w:t>
      </w:r>
      <w:r>
        <w:rPr>
          <w:rFonts w:hint="eastAsia" w:ascii="宋体" w:hAnsi="宋体"/>
          <w:szCs w:val="24"/>
        </w:rPr>
        <w:t xml:space="preserve">图文单元 </w:t>
      </w:r>
      <w:r>
        <w:rPr>
          <w:rFonts w:ascii="宋体" w:hAnsi="宋体"/>
          <w:szCs w:val="24"/>
        </w:rPr>
        <w:t xml:space="preserve">            </w:t>
      </w:r>
      <w:r>
        <w:rPr>
          <w:rFonts w:hint="eastAsia" w:ascii="宋体" w:hAnsi="宋体"/>
          <w:szCs w:val="24"/>
        </w:rPr>
        <w:t>视频单元：视频单元支持学生在有网络的环境下提前下载视频，在无网络的环境下离线观看视频。后台将储存学生观看数据，联网后同步到学习进度。</w:t>
      </w:r>
    </w:p>
    <w:p>
      <w:pPr>
        <w:pStyle w:val="15"/>
        <w:spacing w:line="300" w:lineRule="auto"/>
        <w:ind w:firstLine="0" w:firstLineChars="0"/>
        <w:rPr>
          <w:rFonts w:ascii="宋体" w:hAnsi="宋体"/>
          <w:szCs w:val="24"/>
        </w:rPr>
      </w:pPr>
      <w:r>
        <w:t xml:space="preserve"> </w:t>
      </w:r>
      <w:r>
        <w:rPr>
          <w:rFonts w:ascii="宋体" w:hAnsi="宋体"/>
          <w:szCs w:val="24"/>
        </w:rPr>
        <w:drawing>
          <wp:inline distT="0" distB="0" distL="0" distR="0">
            <wp:extent cx="2444750" cy="2220595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363" cy="22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</w:t>
      </w:r>
      <w:r>
        <w:rPr>
          <w:rFonts w:ascii="宋体" w:hAnsi="宋体"/>
          <w:szCs w:val="24"/>
        </w:rPr>
        <w:t xml:space="preserve">       </w:t>
      </w:r>
      <w:r>
        <w:rPr>
          <w:rFonts w:ascii="仿宋_GB2312" w:hAnsi="仿宋_GB2312" w:eastAsia="仿宋_GB2312" w:cs="仿宋_GB2312"/>
          <w:color w:val="1B1B1B"/>
          <w:szCs w:val="24"/>
        </w:rPr>
        <w:drawing>
          <wp:inline distT="0" distB="0" distL="0" distR="0">
            <wp:extent cx="2813050" cy="2166620"/>
            <wp:effectExtent l="0" t="0" r="635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5"/>
        <w:spacing w:line="300" w:lineRule="auto"/>
        <w:ind w:left="4320" w:leftChars="500" w:hanging="3120" w:hangingChars="130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讨论单元 </w:t>
      </w:r>
      <w:r>
        <w:rPr>
          <w:rFonts w:ascii="宋体" w:hAnsi="宋体"/>
          <w:szCs w:val="24"/>
        </w:rPr>
        <w:t xml:space="preserve">                 </w:t>
      </w:r>
      <w:r>
        <w:rPr>
          <w:rFonts w:hint="eastAsia" w:ascii="宋体" w:hAnsi="宋体"/>
          <w:szCs w:val="24"/>
        </w:rPr>
        <w:t>作业单元：学生可进入作业单元进行作答，老师可选择是否记入成绩，因此作答时请保证认真作答态度。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2.3 讨论区：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 xml:space="preserve"> 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在讨论区中，既包含了学习单元中所有的讨论内容，点击学习单元可进入浏览该单元内容，也可点击发帖发布全新的讨论话题。讨论支持输入文字和插入图片。</w:t>
      </w:r>
    </w:p>
    <w:p>
      <w:pPr>
        <w:spacing w:before="156" w:beforeLines="50" w:after="156" w:afterLines="50" w:line="300" w:lineRule="auto"/>
        <w:ind w:firstLine="565" w:firstLineChars="201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（二）电脑PC端</w:t>
      </w:r>
    </w:p>
    <w:p>
      <w:pPr>
        <w:pStyle w:val="11"/>
        <w:widowControl/>
        <w:spacing w:line="300" w:lineRule="auto"/>
        <w:ind w:firstLine="708" w:firstLineChars="253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ascii="仿宋_GB2312" w:hAnsi="仿宋_GB2312" w:eastAsia="仿宋_GB2312" w:cs="仿宋_GB2312"/>
          <w:color w:val="1B1B1B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  <w:lang w:eastAsia="zh-CN"/>
        </w:rPr>
        <w:t>身份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绑定</w:t>
      </w:r>
    </w:p>
    <w:p>
      <w:pPr>
        <w:pStyle w:val="11"/>
        <w:widowControl/>
        <w:spacing w:line="300" w:lineRule="auto"/>
        <w:ind w:firstLine="708" w:firstLineChars="253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ascii="仿宋_GB2312" w:hAnsi="仿宋_GB2312" w:eastAsia="仿宋_GB2312" w:cs="仿宋_GB2312"/>
          <w:color w:val="1B1B1B"/>
          <w:sz w:val="28"/>
          <w:szCs w:val="28"/>
        </w:rPr>
        <w:t>方式见上述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A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PP学习方式中微信绑定方法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。</w:t>
      </w:r>
    </w:p>
    <w:p>
      <w:pPr>
        <w:pStyle w:val="11"/>
        <w:widowControl/>
        <w:spacing w:line="300" w:lineRule="auto"/>
        <w:ind w:firstLine="708" w:firstLineChars="253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 xml:space="preserve">2、登陆 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网址</w:t>
      </w:r>
      <w:r>
        <w:t>https://ccutyjs.yuketang.cn/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，点击右上角“登录”按钮，微信扫码登录，进入后可看到 “我听的课”列表开始学习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3、开始学习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ascii="仿宋_GB2312" w:hAnsi="仿宋_GB2312" w:eastAsia="仿宋_GB2312" w:cs="仿宋_GB2312"/>
          <w:color w:val="1B1B1B"/>
          <w:sz w:val="28"/>
          <w:szCs w:val="28"/>
        </w:rPr>
        <w:t>点击班级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，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进入课程学习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，课程学习页包括“教学内容”、“公告”、“讨论”三个部分，学习方式与A</w:t>
      </w:r>
      <w:r>
        <w:rPr>
          <w:rFonts w:ascii="仿宋_GB2312" w:hAnsi="仿宋_GB2312" w:eastAsia="仿宋_GB2312" w:cs="仿宋_GB2312"/>
          <w:color w:val="1B1B1B"/>
          <w:sz w:val="28"/>
          <w:szCs w:val="28"/>
        </w:rPr>
        <w:t>PP端相同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。</w:t>
      </w:r>
    </w:p>
    <w:p>
      <w:pPr>
        <w:spacing w:line="300" w:lineRule="auto"/>
        <w:ind w:firstLine="565" w:firstLineChars="201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三、</w:t>
      </w:r>
      <w:r>
        <w:rPr>
          <w:rFonts w:ascii="黑体" w:hAnsi="黑体" w:eastAsia="黑体"/>
          <w:b/>
          <w:bCs/>
          <w:sz w:val="28"/>
          <w:szCs w:val="28"/>
        </w:rPr>
        <w:t>考试</w:t>
      </w:r>
    </w:p>
    <w:p>
      <w:pPr>
        <w:spacing w:line="300" w:lineRule="auto"/>
        <w:ind w:firstLine="495" w:firstLineChars="177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1、考核说明</w:t>
      </w:r>
    </w:p>
    <w:p>
      <w:pPr>
        <w:pStyle w:val="11"/>
        <w:widowControl/>
        <w:spacing w:line="21" w:lineRule="atLeast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学生需在规定时间内完成课程视频观看、章节测试、观看直播互动和网上期末考试，依据学生完成学习环节情况评定课程考核成绩。课程成绩构成：综评成绩（100分）=(视频30%+作业20%+考试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0%）。</w:t>
      </w:r>
    </w:p>
    <w:p>
      <w:pPr>
        <w:pStyle w:val="11"/>
        <w:widowControl/>
        <w:spacing w:line="21" w:lineRule="atLeast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视频：学生在系统中在线观看课程视频，系统自动根据观看的集数，记录学生的观看进度比例，并自动计算观看视频的得分。</w:t>
      </w:r>
    </w:p>
    <w:p>
      <w:pPr>
        <w:pStyle w:val="11"/>
        <w:widowControl/>
        <w:spacing w:line="21" w:lineRule="atLeast"/>
        <w:ind w:firstLine="560" w:firstLineChars="200"/>
        <w:rPr>
          <w:rFonts w:hint="eastAsia"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作业：跟随课程视频的在线测试，每节视频观看完毕后，可进行本章节测试。</w:t>
      </w:r>
    </w:p>
    <w:p>
      <w:pPr>
        <w:pStyle w:val="11"/>
        <w:widowControl/>
        <w:spacing w:line="21" w:lineRule="atLeast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网上期末考试：学生完整观看完视频、完成章节测试后，学生可在规定时间段内参加网上期末考试。</w:t>
      </w:r>
    </w:p>
    <w:p>
      <w:pPr>
        <w:pStyle w:val="11"/>
        <w:widowControl/>
        <w:spacing w:line="21" w:lineRule="atLeast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2、参与考试方式</w:t>
      </w:r>
    </w:p>
    <w:p>
      <w:pPr>
        <w:pStyle w:val="11"/>
        <w:widowControl/>
        <w:spacing w:line="21" w:lineRule="atLeast"/>
        <w:ind w:firstLine="560" w:firstLineChars="200"/>
        <w:rPr>
          <w:rFonts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课程考核内容通过手机端学堂云app和电脑端网页版均可完成，同一账号下的学习数据会实时同步。</w:t>
      </w:r>
    </w:p>
    <w:p>
      <w:pPr>
        <w:pStyle w:val="11"/>
        <w:widowControl/>
        <w:spacing w:line="21" w:lineRule="atLeast"/>
        <w:ind w:firstLine="560" w:firstLineChars="200"/>
        <w:rPr>
          <w:rFonts w:hint="eastAsia"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3、考试</w:t>
      </w:r>
    </w:p>
    <w:p>
      <w:pPr>
        <w:pStyle w:val="11"/>
        <w:widowControl/>
        <w:spacing w:line="21" w:lineRule="atLeast"/>
        <w:ind w:firstLine="560" w:firstLineChars="200"/>
        <w:rPr>
          <w:rFonts w:hint="eastAsia" w:ascii="仿宋_GB2312" w:hAnsi="仿宋_GB2312" w:eastAsia="仿宋_GB2312" w:cs="仿宋_GB2312"/>
          <w:color w:val="1B1B1B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1B1B1B"/>
          <w:sz w:val="28"/>
          <w:szCs w:val="28"/>
        </w:rPr>
        <w:t>点击课程大纲最后一节“考试”，学生进入考试封面。</w:t>
      </w:r>
    </w:p>
    <w:p>
      <w:r>
        <w:drawing>
          <wp:inline distT="0" distB="0" distL="0" distR="0">
            <wp:extent cx="5270500" cy="19240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0" w:firstLineChars="236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点击开始答题，跳转到新页面，并弹出弹窗，提示学生本次考试限时或不限时。</w:t>
      </w:r>
    </w:p>
    <w:p>
      <w:r>
        <w:drawing>
          <wp:inline distT="0" distB="0" distL="0" distR="0">
            <wp:extent cx="5270500" cy="18923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点击开始，进入考试试卷，左上角为本次考试名次，右上角包括答题计时和交卷按钮。</w:t>
      </w:r>
    </w:p>
    <w:p>
      <w:r>
        <w:drawing>
          <wp:inline distT="0" distB="0" distL="0" distR="0">
            <wp:extent cx="5270500" cy="19685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0" w:firstLineChars="236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点击左侧展开，呼出答题卡。</w:t>
      </w:r>
    </w:p>
    <w:p>
      <w:r>
        <w:drawing>
          <wp:inline distT="0" distB="0" distL="0" distR="0">
            <wp:extent cx="5270500" cy="184785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点击交卷，给出相应提示：</w:t>
      </w:r>
    </w:p>
    <w:p>
      <w:pPr>
        <w:pStyle w:val="15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还有习题未完成，则给出如下提示，点击继续答题回到试卷，或继续完成交卷动作；</w:t>
      </w:r>
    </w:p>
    <w:p>
      <w:pPr>
        <w:pStyle w:val="15"/>
        <w:ind w:firstLine="0" w:firstLineChars="0"/>
      </w:pPr>
      <w:r>
        <w:drawing>
          <wp:inline distT="0" distB="0" distL="0" distR="0">
            <wp:extent cx="5270500" cy="20828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所有习题均完成，二次确认交卷，点击检查一下回到试卷，或继续完成交卷动作；</w:t>
      </w:r>
    </w:p>
    <w:p>
      <w:r>
        <w:drawing>
          <wp:inline distT="0" distB="0" distL="0" distR="0">
            <wp:extent cx="5270500" cy="24765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提交试卷后，提示提交成功，如果交卷失败，则返回试卷需重新手动提交。</w:t>
      </w:r>
    </w:p>
    <w:p>
      <w:r>
        <w:drawing>
          <wp:inline distT="0" distB="0" distL="0" distR="0">
            <wp:extent cx="5270500" cy="25146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交卷成功后，返回到试卷封面。</w:t>
      </w:r>
    </w:p>
    <w:p>
      <w:r>
        <w:drawing>
          <wp:inline distT="0" distB="0" distL="0" distR="0">
            <wp:extent cx="5270500" cy="21907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 w:firstLineChars="177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点击查看试卷，可查看作答情况。</w:t>
      </w:r>
    </w:p>
    <w:p>
      <w:r>
        <w:drawing>
          <wp:inline distT="0" distB="0" distL="0" distR="0">
            <wp:extent cx="5270500" cy="23558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0" w:firstLineChars="236"/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color w:val="1B1B1B"/>
          <w:kern w:val="0"/>
          <w:sz w:val="28"/>
          <w:szCs w:val="28"/>
          <w:lang w:val="en-US" w:eastAsia="zh-CN" w:bidi="ar-SA"/>
        </w:rPr>
        <w:t>点击左侧答题卡，呼出展开。</w:t>
      </w:r>
    </w:p>
    <w:bookmarkEnd w:id="0"/>
    <w:p>
      <w:r>
        <w:drawing>
          <wp:inline distT="0" distB="0" distL="0" distR="0">
            <wp:extent cx="5270500" cy="24257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2" w:firstLineChars="201"/>
        <w:rPr>
          <w:rFonts w:ascii="黑体" w:hAnsi="黑体" w:eastAsia="黑体"/>
          <w:szCs w:val="24"/>
        </w:rPr>
      </w:pPr>
    </w:p>
    <w:sectPr>
      <w:pgSz w:w="11906" w:h="16838"/>
      <w:pgMar w:top="1134" w:right="964" w:bottom="1134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411DE"/>
    <w:multiLevelType w:val="multilevel"/>
    <w:tmpl w:val="6BC411DE"/>
    <w:lvl w:ilvl="0" w:tentative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58A0"/>
    <w:rsid w:val="00014C34"/>
    <w:rsid w:val="00043CDC"/>
    <w:rsid w:val="00075700"/>
    <w:rsid w:val="00095DF6"/>
    <w:rsid w:val="000A759A"/>
    <w:rsid w:val="00142362"/>
    <w:rsid w:val="00150F57"/>
    <w:rsid w:val="00151E86"/>
    <w:rsid w:val="00154A9B"/>
    <w:rsid w:val="001816EE"/>
    <w:rsid w:val="00191D64"/>
    <w:rsid w:val="001B28F7"/>
    <w:rsid w:val="001B63DC"/>
    <w:rsid w:val="001C0935"/>
    <w:rsid w:val="001D071F"/>
    <w:rsid w:val="001D3001"/>
    <w:rsid w:val="001D4AC2"/>
    <w:rsid w:val="001D704C"/>
    <w:rsid w:val="001E0B2A"/>
    <w:rsid w:val="001E7E27"/>
    <w:rsid w:val="00215417"/>
    <w:rsid w:val="00217D46"/>
    <w:rsid w:val="00294E49"/>
    <w:rsid w:val="002A31E2"/>
    <w:rsid w:val="002B5425"/>
    <w:rsid w:val="002C048B"/>
    <w:rsid w:val="002E2353"/>
    <w:rsid w:val="00343FE4"/>
    <w:rsid w:val="00350CCB"/>
    <w:rsid w:val="00366FCF"/>
    <w:rsid w:val="003822EB"/>
    <w:rsid w:val="00397749"/>
    <w:rsid w:val="003E6394"/>
    <w:rsid w:val="004418CD"/>
    <w:rsid w:val="00453CD5"/>
    <w:rsid w:val="004B66F5"/>
    <w:rsid w:val="004C6DE7"/>
    <w:rsid w:val="004E5721"/>
    <w:rsid w:val="00507C92"/>
    <w:rsid w:val="00520B25"/>
    <w:rsid w:val="0052100B"/>
    <w:rsid w:val="00546DB0"/>
    <w:rsid w:val="005C114F"/>
    <w:rsid w:val="00600A49"/>
    <w:rsid w:val="006032F3"/>
    <w:rsid w:val="00637BEB"/>
    <w:rsid w:val="00671808"/>
    <w:rsid w:val="00684F71"/>
    <w:rsid w:val="006B15B2"/>
    <w:rsid w:val="006D58D2"/>
    <w:rsid w:val="006D7406"/>
    <w:rsid w:val="0073684B"/>
    <w:rsid w:val="00751B15"/>
    <w:rsid w:val="00777792"/>
    <w:rsid w:val="00800FE0"/>
    <w:rsid w:val="00820F3A"/>
    <w:rsid w:val="00824E50"/>
    <w:rsid w:val="008A0917"/>
    <w:rsid w:val="008A2894"/>
    <w:rsid w:val="00971B59"/>
    <w:rsid w:val="00973F28"/>
    <w:rsid w:val="009C3B84"/>
    <w:rsid w:val="009F15C4"/>
    <w:rsid w:val="00A02BCD"/>
    <w:rsid w:val="00A8477B"/>
    <w:rsid w:val="00AD7E73"/>
    <w:rsid w:val="00B0299D"/>
    <w:rsid w:val="00B436FD"/>
    <w:rsid w:val="00B77C91"/>
    <w:rsid w:val="00C230FB"/>
    <w:rsid w:val="00C512EE"/>
    <w:rsid w:val="00C52611"/>
    <w:rsid w:val="00C64F7B"/>
    <w:rsid w:val="00C759B2"/>
    <w:rsid w:val="00D0135E"/>
    <w:rsid w:val="00D053F3"/>
    <w:rsid w:val="00D058A0"/>
    <w:rsid w:val="00D15705"/>
    <w:rsid w:val="00D515C1"/>
    <w:rsid w:val="00DE6305"/>
    <w:rsid w:val="00EC2452"/>
    <w:rsid w:val="00EF501F"/>
    <w:rsid w:val="00F71022"/>
    <w:rsid w:val="00F80B94"/>
    <w:rsid w:val="00F91626"/>
    <w:rsid w:val="00FC28FE"/>
    <w:rsid w:val="34DF236E"/>
    <w:rsid w:val="624D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Balloon Text"/>
    <w:basedOn w:val="1"/>
    <w:link w:val="2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0"/>
    <w:pPr>
      <w:spacing w:line="240" w:lineRule="auto"/>
      <w:jc w:val="left"/>
    </w:pPr>
    <w:rPr>
      <w:rFonts w:cs="Times New Roman" w:eastAsiaTheme="minorEastAsia"/>
      <w:kern w:val="0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18">
    <w:name w:val="标题 1 Char"/>
    <w:basedOn w:val="13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9">
    <w:name w:val="标题 2 Char"/>
    <w:basedOn w:val="13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20">
    <w:name w:val="标题 3 Char"/>
    <w:basedOn w:val="13"/>
    <w:link w:val="4"/>
    <w:uiPriority w:val="9"/>
    <w:rPr>
      <w:rFonts w:eastAsia="黑体"/>
      <w:bCs/>
      <w:sz w:val="24"/>
      <w:szCs w:val="32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2">
    <w:name w:val="批注框文本 Char"/>
    <w:basedOn w:val="13"/>
    <w:link w:val="6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0.tiff"/><Relationship Id="rId22" Type="http://schemas.openxmlformats.org/officeDocument/2006/relationships/image" Target="media/image9.tiff"/><Relationship Id="rId21" Type="http://schemas.openxmlformats.org/officeDocument/2006/relationships/image" Target="media/image8.tiff"/><Relationship Id="rId20" Type="http://schemas.openxmlformats.org/officeDocument/2006/relationships/image" Target="media/image7.tiff"/><Relationship Id="rId2" Type="http://schemas.openxmlformats.org/officeDocument/2006/relationships/settings" Target="settings.xml"/><Relationship Id="rId19" Type="http://schemas.openxmlformats.org/officeDocument/2006/relationships/image" Target="media/image6.tiff"/><Relationship Id="rId18" Type="http://schemas.openxmlformats.org/officeDocument/2006/relationships/image" Target="media/image5.tiff"/><Relationship Id="rId17" Type="http://schemas.openxmlformats.org/officeDocument/2006/relationships/image" Target="media/image4.tiff"/><Relationship Id="rId16" Type="http://schemas.openxmlformats.org/officeDocument/2006/relationships/image" Target="media/image3.tiff"/><Relationship Id="rId15" Type="http://schemas.openxmlformats.org/officeDocument/2006/relationships/image" Target="media/image2.tiff"/><Relationship Id="rId14" Type="http://schemas.openxmlformats.org/officeDocument/2006/relationships/image" Target="media/image1.tif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07C1C2-3AEB-4D16-ABFC-3652DDF255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253</Words>
  <Characters>1446</Characters>
  <Lines>12</Lines>
  <Paragraphs>3</Paragraphs>
  <TotalTime>3</TotalTime>
  <ScaleCrop>false</ScaleCrop>
  <LinksUpToDate>false</LinksUpToDate>
  <CharactersWithSpaces>1696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2020-02-24T03:37:00Z</dcterms:created>
  <dc:creator>huixin zhao</dc:creator>
  <cp:lastModifiedBy>朱建一</cp:lastModifiedBy>
  <dcterms:modified xsi:type="dcterms:W3CDTF">2020-04-30T08:21:32Z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